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3A4A" w14:textId="77777777" w:rsidR="00AF7D89" w:rsidRPr="000A784B" w:rsidRDefault="00AF7D89" w:rsidP="001803EC">
      <w:pPr>
        <w:autoSpaceDE w:val="0"/>
        <w:autoSpaceDN w:val="0"/>
        <w:adjustRightInd w:val="0"/>
        <w:spacing w:after="0" w:line="240" w:lineRule="auto"/>
        <w:jc w:val="center"/>
        <w:rPr>
          <w:rFonts w:ascii="Arial" w:hAnsi="Arial" w:cs="Arial"/>
          <w:b/>
          <w:bCs/>
          <w:color w:val="000000" w:themeColor="text1"/>
          <w:sz w:val="28"/>
          <w:szCs w:val="28"/>
        </w:rPr>
      </w:pPr>
    </w:p>
    <w:p w14:paraId="76FB0AE3" w14:textId="77777777" w:rsidR="00AF7D89" w:rsidRPr="000A784B" w:rsidRDefault="00AF7D89" w:rsidP="001803EC">
      <w:pPr>
        <w:autoSpaceDE w:val="0"/>
        <w:autoSpaceDN w:val="0"/>
        <w:adjustRightInd w:val="0"/>
        <w:spacing w:after="0" w:line="240" w:lineRule="auto"/>
        <w:jc w:val="center"/>
        <w:rPr>
          <w:rFonts w:ascii="Arial" w:hAnsi="Arial" w:cs="Arial"/>
          <w:b/>
          <w:bCs/>
          <w:color w:val="000000" w:themeColor="text1"/>
          <w:sz w:val="28"/>
          <w:szCs w:val="28"/>
        </w:rPr>
      </w:pPr>
    </w:p>
    <w:p w14:paraId="17DD96C9" w14:textId="77777777" w:rsidR="00144696" w:rsidRPr="000A784B" w:rsidRDefault="006D6B79" w:rsidP="00144696">
      <w:pPr>
        <w:spacing w:after="0"/>
        <w:jc w:val="center"/>
        <w:rPr>
          <w:rFonts w:ascii="Arial" w:hAnsi="Arial" w:cs="Arial"/>
          <w:b/>
          <w:color w:val="000000" w:themeColor="text1"/>
          <w:sz w:val="32"/>
          <w:szCs w:val="32"/>
        </w:rPr>
      </w:pPr>
      <w:r w:rsidRPr="000A784B">
        <w:rPr>
          <w:rFonts w:ascii="Arial" w:hAnsi="Arial" w:cs="Arial"/>
          <w:b/>
          <w:color w:val="000000" w:themeColor="text1"/>
          <w:sz w:val="32"/>
          <w:szCs w:val="32"/>
        </w:rPr>
        <w:t>XXX</w:t>
      </w:r>
      <w:r w:rsidR="00144696" w:rsidRPr="000A784B">
        <w:rPr>
          <w:rFonts w:ascii="Arial" w:hAnsi="Arial" w:cs="Arial"/>
          <w:b/>
          <w:color w:val="000000" w:themeColor="text1"/>
          <w:sz w:val="32"/>
          <w:szCs w:val="32"/>
        </w:rPr>
        <w:t xml:space="preserve"> ACADEMY</w:t>
      </w:r>
    </w:p>
    <w:p w14:paraId="1530D730" w14:textId="3516F498" w:rsidR="00144696" w:rsidRPr="000A784B" w:rsidRDefault="00144696" w:rsidP="000A784B">
      <w:pPr>
        <w:spacing w:after="0"/>
        <w:jc w:val="center"/>
        <w:rPr>
          <w:rFonts w:ascii="Arial" w:hAnsi="Arial" w:cs="Arial"/>
          <w:b/>
          <w:color w:val="000000" w:themeColor="text1"/>
          <w:sz w:val="32"/>
          <w:szCs w:val="32"/>
        </w:rPr>
      </w:pPr>
      <w:r w:rsidRPr="000A784B">
        <w:rPr>
          <w:rFonts w:ascii="Arial" w:hAnsi="Arial" w:cs="Arial"/>
          <w:b/>
          <w:color w:val="000000" w:themeColor="text1"/>
          <w:sz w:val="32"/>
          <w:szCs w:val="32"/>
        </w:rPr>
        <w:t>CAPITAL AND REVENUE RESERVES POLICY</w:t>
      </w:r>
      <w:bookmarkStart w:id="0" w:name="_GoBack"/>
      <w:bookmarkEnd w:id="0"/>
    </w:p>
    <w:p w14:paraId="0DBC13D9" w14:textId="63CD267E" w:rsidR="00144696" w:rsidRPr="000A784B" w:rsidRDefault="000A784B" w:rsidP="00144696">
      <w:pPr>
        <w:spacing w:after="0"/>
        <w:jc w:val="center"/>
        <w:rPr>
          <w:rFonts w:ascii="Arial" w:hAnsi="Arial" w:cs="Arial"/>
          <w:color w:val="000000" w:themeColor="text1"/>
          <w:sz w:val="18"/>
        </w:rPr>
      </w:pPr>
      <w:r w:rsidRPr="000A784B">
        <w:rPr>
          <w:rFonts w:ascii="Arial" w:hAnsi="Arial" w:cs="Arial"/>
          <w:color w:val="000000" w:themeColor="text1"/>
          <w:sz w:val="18"/>
          <w:highlight w:val="yellow"/>
        </w:rPr>
        <w:t>(Date of policy here)</w:t>
      </w:r>
    </w:p>
    <w:p w14:paraId="03522348" w14:textId="77777777" w:rsidR="00144696" w:rsidRPr="000A784B" w:rsidRDefault="00144696" w:rsidP="00144696">
      <w:pPr>
        <w:tabs>
          <w:tab w:val="left" w:pos="2905"/>
        </w:tabs>
        <w:spacing w:after="0"/>
        <w:rPr>
          <w:rFonts w:ascii="Arial" w:hAnsi="Arial" w:cs="Arial"/>
          <w:color w:val="000000" w:themeColor="text1"/>
        </w:rPr>
      </w:pPr>
      <w:r w:rsidRPr="000A784B">
        <w:rPr>
          <w:rFonts w:ascii="Arial" w:hAnsi="Arial" w:cs="Arial"/>
          <w:color w:val="000000" w:themeColor="text1"/>
        </w:rPr>
        <w:tab/>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121"/>
        <w:gridCol w:w="8646"/>
      </w:tblGrid>
      <w:tr w:rsidR="000A784B" w:rsidRPr="000A784B" w14:paraId="402741E3" w14:textId="77777777" w:rsidTr="00E15CE8">
        <w:tc>
          <w:tcPr>
            <w:tcW w:w="1560" w:type="dxa"/>
            <w:gridSpan w:val="2"/>
            <w:shd w:val="clear" w:color="auto" w:fill="D9D9D9"/>
          </w:tcPr>
          <w:p w14:paraId="01204485" w14:textId="77777777" w:rsidR="00144696" w:rsidRPr="000A784B" w:rsidRDefault="00144696" w:rsidP="00144696">
            <w:pPr>
              <w:spacing w:after="0"/>
              <w:rPr>
                <w:rFonts w:ascii="Arial" w:hAnsi="Arial" w:cs="Arial"/>
                <w:b/>
                <w:color w:val="000000" w:themeColor="text1"/>
                <w:sz w:val="16"/>
              </w:rPr>
            </w:pPr>
            <w:r w:rsidRPr="000A784B">
              <w:rPr>
                <w:rFonts w:ascii="Arial" w:hAnsi="Arial" w:cs="Arial"/>
                <w:b/>
                <w:color w:val="000000" w:themeColor="text1"/>
                <w:sz w:val="16"/>
              </w:rPr>
              <w:t>Version and Date</w:t>
            </w:r>
          </w:p>
        </w:tc>
        <w:tc>
          <w:tcPr>
            <w:tcW w:w="8646" w:type="dxa"/>
            <w:shd w:val="clear" w:color="auto" w:fill="D9D9D9"/>
          </w:tcPr>
          <w:p w14:paraId="4DF1611C" w14:textId="77777777" w:rsidR="00144696" w:rsidRPr="000A784B" w:rsidRDefault="00144696" w:rsidP="00144696">
            <w:pPr>
              <w:spacing w:after="0"/>
              <w:rPr>
                <w:rFonts w:ascii="Arial" w:hAnsi="Arial" w:cs="Arial"/>
                <w:b/>
                <w:color w:val="000000" w:themeColor="text1"/>
                <w:sz w:val="16"/>
              </w:rPr>
            </w:pPr>
            <w:r w:rsidRPr="000A784B">
              <w:rPr>
                <w:rFonts w:ascii="Arial" w:hAnsi="Arial" w:cs="Arial"/>
                <w:b/>
                <w:color w:val="000000" w:themeColor="text1"/>
                <w:sz w:val="16"/>
              </w:rPr>
              <w:t>Action/Notes</w:t>
            </w:r>
          </w:p>
        </w:tc>
      </w:tr>
      <w:tr w:rsidR="000A784B" w:rsidRPr="000A784B" w14:paraId="6152E792" w14:textId="77777777" w:rsidTr="00E15CE8">
        <w:tc>
          <w:tcPr>
            <w:tcW w:w="439" w:type="dxa"/>
          </w:tcPr>
          <w:p w14:paraId="3D177C94" w14:textId="77777777" w:rsidR="00144696" w:rsidRPr="000A784B" w:rsidRDefault="00144696" w:rsidP="00144696">
            <w:pPr>
              <w:spacing w:after="0"/>
              <w:rPr>
                <w:rFonts w:ascii="Arial" w:hAnsi="Arial" w:cs="Arial"/>
                <w:color w:val="000000" w:themeColor="text1"/>
                <w:sz w:val="16"/>
              </w:rPr>
            </w:pPr>
            <w:r w:rsidRPr="000A784B">
              <w:rPr>
                <w:rFonts w:ascii="Arial" w:hAnsi="Arial" w:cs="Arial"/>
                <w:color w:val="000000" w:themeColor="text1"/>
                <w:sz w:val="16"/>
              </w:rPr>
              <w:t>1.0</w:t>
            </w:r>
          </w:p>
        </w:tc>
        <w:tc>
          <w:tcPr>
            <w:tcW w:w="1121" w:type="dxa"/>
          </w:tcPr>
          <w:p w14:paraId="49130ECF" w14:textId="6DED90FA" w:rsidR="00144696" w:rsidRPr="000A784B" w:rsidRDefault="000A784B" w:rsidP="00144696">
            <w:pPr>
              <w:spacing w:after="0"/>
              <w:rPr>
                <w:rFonts w:ascii="Arial" w:hAnsi="Arial" w:cs="Arial"/>
                <w:color w:val="000000" w:themeColor="text1"/>
                <w:sz w:val="16"/>
                <w:highlight w:val="yellow"/>
              </w:rPr>
            </w:pPr>
            <w:r w:rsidRPr="000A784B">
              <w:rPr>
                <w:rFonts w:ascii="Arial" w:hAnsi="Arial" w:cs="Arial"/>
                <w:color w:val="000000" w:themeColor="text1"/>
                <w:sz w:val="16"/>
                <w:highlight w:val="yellow"/>
              </w:rPr>
              <w:t>Date here</w:t>
            </w:r>
          </w:p>
        </w:tc>
        <w:tc>
          <w:tcPr>
            <w:tcW w:w="8646" w:type="dxa"/>
          </w:tcPr>
          <w:p w14:paraId="7B2BFB41" w14:textId="20BA5EC4" w:rsidR="00144696" w:rsidRPr="000A784B" w:rsidRDefault="00144696" w:rsidP="006D6B79">
            <w:pPr>
              <w:spacing w:after="0"/>
              <w:rPr>
                <w:rFonts w:ascii="Arial" w:hAnsi="Arial" w:cs="Arial"/>
                <w:color w:val="000000" w:themeColor="text1"/>
                <w:sz w:val="16"/>
              </w:rPr>
            </w:pPr>
            <w:r w:rsidRPr="000A784B">
              <w:rPr>
                <w:rFonts w:ascii="Arial" w:hAnsi="Arial" w:cs="Arial"/>
                <w:color w:val="000000" w:themeColor="text1"/>
                <w:sz w:val="16"/>
              </w:rPr>
              <w:t xml:space="preserve">Approved by FGB </w:t>
            </w:r>
            <w:r w:rsidR="000A784B" w:rsidRPr="000A784B">
              <w:rPr>
                <w:rFonts w:ascii="Arial" w:hAnsi="Arial" w:cs="Arial"/>
                <w:color w:val="000000" w:themeColor="text1"/>
                <w:sz w:val="16"/>
                <w:highlight w:val="yellow"/>
              </w:rPr>
              <w:t>date here</w:t>
            </w:r>
            <w:r w:rsidRPr="000A784B">
              <w:rPr>
                <w:rFonts w:ascii="Arial" w:hAnsi="Arial" w:cs="Arial"/>
                <w:color w:val="000000" w:themeColor="text1"/>
                <w:sz w:val="16"/>
              </w:rPr>
              <w:t xml:space="preserve">.  Author:  </w:t>
            </w:r>
            <w:r w:rsidR="006D6B79" w:rsidRPr="000A784B">
              <w:rPr>
                <w:rFonts w:ascii="Arial" w:hAnsi="Arial" w:cs="Arial"/>
                <w:color w:val="000000" w:themeColor="text1"/>
                <w:sz w:val="16"/>
              </w:rPr>
              <w:t>XXX</w:t>
            </w:r>
          </w:p>
        </w:tc>
      </w:tr>
    </w:tbl>
    <w:p w14:paraId="1EC33A6A" w14:textId="77777777" w:rsidR="00144696" w:rsidRPr="000A784B" w:rsidRDefault="00144696" w:rsidP="00144696">
      <w:pPr>
        <w:tabs>
          <w:tab w:val="left" w:pos="2706"/>
        </w:tabs>
        <w:spacing w:after="0"/>
        <w:rPr>
          <w:rFonts w:ascii="Arial" w:hAnsi="Arial" w:cs="Arial"/>
          <w:color w:val="000000" w:themeColor="text1"/>
        </w:rPr>
      </w:pPr>
      <w:r w:rsidRPr="000A784B">
        <w:rPr>
          <w:rFonts w:ascii="Arial" w:hAnsi="Arial" w:cs="Arial"/>
          <w:color w:val="000000" w:themeColor="text1"/>
        </w:rPr>
        <w:tab/>
      </w:r>
    </w:p>
    <w:p w14:paraId="2DF7DD74" w14:textId="40959FC2" w:rsidR="000859BC" w:rsidRPr="000A784B" w:rsidRDefault="000859BC" w:rsidP="000859BC">
      <w:pPr>
        <w:autoSpaceDE w:val="0"/>
        <w:autoSpaceDN w:val="0"/>
        <w:adjustRightInd w:val="0"/>
        <w:spacing w:after="0" w:line="240" w:lineRule="auto"/>
        <w:rPr>
          <w:rFonts w:ascii="Arial" w:hAnsi="Arial" w:cs="Arial"/>
          <w:bCs/>
          <w:color w:val="000000" w:themeColor="text1"/>
          <w:sz w:val="20"/>
          <w:szCs w:val="20"/>
        </w:rPr>
      </w:pPr>
      <w:r w:rsidRPr="000A784B">
        <w:rPr>
          <w:rFonts w:ascii="Arial" w:hAnsi="Arial" w:cs="Arial"/>
          <w:bCs/>
          <w:color w:val="000000" w:themeColor="text1"/>
          <w:sz w:val="20"/>
          <w:szCs w:val="20"/>
        </w:rPr>
        <w:t>The policy of the Academy is to carry forward a prudent level of resources designed to meet the long-term cyclical needs of renewal and any other unforeseen contingencies, subject to the constraint that the level of resources does not exceed the level permitted by the DfE.  To this end the following approaches to Capital and Revenue are required:</w:t>
      </w:r>
    </w:p>
    <w:p w14:paraId="42A4B0C0" w14:textId="77777777" w:rsidR="0093438C" w:rsidRPr="000A784B" w:rsidRDefault="0093438C" w:rsidP="0093438C">
      <w:pPr>
        <w:autoSpaceDE w:val="0"/>
        <w:autoSpaceDN w:val="0"/>
        <w:adjustRightInd w:val="0"/>
        <w:spacing w:after="0" w:line="240" w:lineRule="auto"/>
        <w:rPr>
          <w:rFonts w:ascii="Arial" w:hAnsi="Arial" w:cs="Arial"/>
          <w:b/>
          <w:bCs/>
          <w:color w:val="000000" w:themeColor="text1"/>
          <w:sz w:val="28"/>
          <w:szCs w:val="28"/>
        </w:rPr>
      </w:pPr>
    </w:p>
    <w:p w14:paraId="431D9116" w14:textId="77777777" w:rsidR="0093438C" w:rsidRPr="000A784B" w:rsidRDefault="0093438C" w:rsidP="0093438C">
      <w:pPr>
        <w:autoSpaceDE w:val="0"/>
        <w:autoSpaceDN w:val="0"/>
        <w:adjustRightInd w:val="0"/>
        <w:spacing w:after="0" w:line="240" w:lineRule="auto"/>
        <w:rPr>
          <w:rFonts w:ascii="Arial" w:hAnsi="Arial" w:cs="Arial"/>
          <w:b/>
          <w:bCs/>
          <w:color w:val="000000" w:themeColor="text1"/>
          <w:sz w:val="24"/>
          <w:szCs w:val="24"/>
        </w:rPr>
      </w:pPr>
      <w:r w:rsidRPr="000A784B">
        <w:rPr>
          <w:rFonts w:ascii="Arial" w:hAnsi="Arial" w:cs="Arial"/>
          <w:b/>
          <w:bCs/>
          <w:color w:val="000000" w:themeColor="text1"/>
          <w:sz w:val="24"/>
          <w:szCs w:val="24"/>
        </w:rPr>
        <w:t xml:space="preserve">CAPITAL </w:t>
      </w:r>
    </w:p>
    <w:p w14:paraId="6053E2F0" w14:textId="77777777" w:rsidR="0093438C" w:rsidRPr="000A784B" w:rsidRDefault="0093438C" w:rsidP="0093438C">
      <w:pPr>
        <w:autoSpaceDE w:val="0"/>
        <w:autoSpaceDN w:val="0"/>
        <w:adjustRightInd w:val="0"/>
        <w:spacing w:after="0" w:line="240" w:lineRule="auto"/>
        <w:rPr>
          <w:rFonts w:ascii="Arial" w:hAnsi="Arial" w:cs="Arial"/>
          <w:b/>
          <w:bCs/>
          <w:color w:val="000000" w:themeColor="text1"/>
          <w:sz w:val="28"/>
          <w:szCs w:val="28"/>
        </w:rPr>
      </w:pPr>
    </w:p>
    <w:p w14:paraId="0D360B40" w14:textId="3841F17B" w:rsidR="0093438C" w:rsidRPr="000A784B" w:rsidRDefault="000859BC" w:rsidP="0093438C">
      <w:pPr>
        <w:autoSpaceDE w:val="0"/>
        <w:autoSpaceDN w:val="0"/>
        <w:adjustRightInd w:val="0"/>
        <w:spacing w:after="0" w:line="240" w:lineRule="auto"/>
        <w:rPr>
          <w:rFonts w:ascii="Arial" w:hAnsi="Arial" w:cs="Arial"/>
          <w:b/>
          <w:bCs/>
          <w:color w:val="000000" w:themeColor="text1"/>
          <w:sz w:val="20"/>
          <w:szCs w:val="20"/>
        </w:rPr>
      </w:pPr>
      <w:r w:rsidRPr="000A784B">
        <w:rPr>
          <w:rFonts w:ascii="Arial" w:hAnsi="Arial" w:cs="Arial"/>
          <w:b/>
          <w:bCs/>
          <w:color w:val="000000" w:themeColor="text1"/>
          <w:sz w:val="20"/>
          <w:szCs w:val="20"/>
        </w:rPr>
        <w:t>Definition</w:t>
      </w:r>
    </w:p>
    <w:p w14:paraId="3DDFD5BD" w14:textId="54D9D8F8" w:rsidR="00FA219A" w:rsidRPr="000A784B" w:rsidRDefault="00FA219A" w:rsidP="00FA219A">
      <w:pPr>
        <w:autoSpaceDE w:val="0"/>
        <w:autoSpaceDN w:val="0"/>
        <w:adjustRightInd w:val="0"/>
        <w:spacing w:after="0" w:line="240" w:lineRule="auto"/>
        <w:jc w:val="both"/>
        <w:rPr>
          <w:rFonts w:ascii="Arial" w:hAnsi="Arial" w:cs="Arial"/>
          <w:bCs/>
          <w:color w:val="000000" w:themeColor="text1"/>
          <w:sz w:val="20"/>
          <w:szCs w:val="20"/>
        </w:rPr>
      </w:pPr>
    </w:p>
    <w:p w14:paraId="5058EA48" w14:textId="22291D9F" w:rsidR="009B4C53" w:rsidRPr="000A784B" w:rsidRDefault="0061271B" w:rsidP="00945B6A">
      <w:pPr>
        <w:autoSpaceDE w:val="0"/>
        <w:autoSpaceDN w:val="0"/>
        <w:adjustRightInd w:val="0"/>
        <w:spacing w:after="0" w:line="240" w:lineRule="auto"/>
        <w:rPr>
          <w:rFonts w:ascii="Arial" w:hAnsi="Arial" w:cs="Arial"/>
          <w:bCs/>
          <w:color w:val="000000" w:themeColor="text1"/>
          <w:sz w:val="20"/>
          <w:szCs w:val="20"/>
        </w:rPr>
      </w:pPr>
      <w:r w:rsidRPr="000A784B">
        <w:rPr>
          <w:rFonts w:ascii="Arial" w:hAnsi="Arial" w:cs="Arial"/>
          <w:bCs/>
          <w:color w:val="000000" w:themeColor="text1"/>
          <w:sz w:val="20"/>
          <w:szCs w:val="20"/>
        </w:rPr>
        <w:t xml:space="preserve">The academy works within the constraints as detailed in the Academies Financial Handbook to maximise the value of its public funding.  The Trustees need to be mindful of the MATs growth plan as </w:t>
      </w:r>
      <w:r w:rsidR="00FA219A" w:rsidRPr="000A784B">
        <w:rPr>
          <w:rFonts w:ascii="Arial" w:hAnsi="Arial" w:cs="Arial"/>
          <w:bCs/>
          <w:color w:val="000000" w:themeColor="text1"/>
          <w:sz w:val="20"/>
          <w:szCs w:val="20"/>
        </w:rPr>
        <w:t xml:space="preserve">Multi Academy Trusts with less than 5 schools and less than 3000 pupils are able to bid for a share of the Condition Improvement Fund (CIF).  </w:t>
      </w:r>
      <w:r w:rsidR="00FA219A" w:rsidRPr="000A784B">
        <w:rPr>
          <w:rFonts w:ascii="Arial" w:hAnsi="Arial" w:cs="Arial"/>
          <w:color w:val="000000" w:themeColor="text1"/>
          <w:sz w:val="20"/>
          <w:szCs w:val="20"/>
        </w:rPr>
        <w:t>MATs</w:t>
      </w:r>
      <w:r w:rsidR="00FA219A" w:rsidRPr="000A784B">
        <w:rPr>
          <w:rFonts w:ascii="Arial" w:hAnsi="Arial" w:cs="Arial"/>
          <w:color w:val="000000" w:themeColor="text1"/>
          <w:sz w:val="20"/>
          <w:szCs w:val="20"/>
          <w:shd w:val="clear" w:color="auto" w:fill="FFFFFF"/>
        </w:rPr>
        <w:t> with at least 5 academies and more than 3,000 pupils will receive a </w:t>
      </w:r>
      <w:hyperlink r:id="rId5" w:history="1">
        <w:r w:rsidR="00FA219A" w:rsidRPr="000A784B">
          <w:rPr>
            <w:rStyle w:val="Hyperlink"/>
            <w:rFonts w:ascii="Arial" w:hAnsi="Arial" w:cs="Arial"/>
            <w:color w:val="000000" w:themeColor="text1"/>
            <w:sz w:val="20"/>
            <w:szCs w:val="20"/>
            <w:bdr w:val="none" w:sz="0" w:space="0" w:color="auto" w:frame="1"/>
            <w:shd w:val="clear" w:color="auto" w:fill="FFFFFF"/>
          </w:rPr>
          <w:t>School Condition Allocation (SCA)</w:t>
        </w:r>
      </w:hyperlink>
      <w:r w:rsidR="00FA219A" w:rsidRPr="000A784B">
        <w:rPr>
          <w:rFonts w:ascii="Arial" w:hAnsi="Arial" w:cs="Arial"/>
          <w:color w:val="000000" w:themeColor="text1"/>
          <w:sz w:val="20"/>
          <w:szCs w:val="20"/>
          <w:shd w:val="clear" w:color="auto" w:fill="FFFFFF"/>
        </w:rPr>
        <w:t> to deploy across their estate.</w:t>
      </w:r>
      <w:r w:rsidRPr="000A784B">
        <w:rPr>
          <w:rFonts w:ascii="Arial" w:hAnsi="Arial" w:cs="Arial"/>
          <w:color w:val="000000" w:themeColor="text1"/>
          <w:sz w:val="20"/>
          <w:szCs w:val="20"/>
        </w:rPr>
        <w:t xml:space="preserve"> Where funding for particular programmes have time limits for achieving expenditure, any grant left unspent is at risk of clawback.</w:t>
      </w:r>
      <w:r w:rsidRPr="000A784B">
        <w:rPr>
          <w:rFonts w:ascii="Arial" w:hAnsi="Arial" w:cs="Arial"/>
          <w:color w:val="000000" w:themeColor="text1"/>
        </w:rPr>
        <w:t xml:space="preserve"> </w:t>
      </w:r>
    </w:p>
    <w:p w14:paraId="7E20BBCC" w14:textId="77777777" w:rsidR="009B4C53" w:rsidRPr="000A784B" w:rsidRDefault="009B4C53" w:rsidP="00945B6A">
      <w:pPr>
        <w:autoSpaceDE w:val="0"/>
        <w:autoSpaceDN w:val="0"/>
        <w:adjustRightInd w:val="0"/>
        <w:spacing w:after="0" w:line="240" w:lineRule="auto"/>
        <w:rPr>
          <w:rFonts w:ascii="Arial" w:hAnsi="Arial" w:cs="Arial"/>
          <w:b/>
          <w:bCs/>
          <w:color w:val="000000" w:themeColor="text1"/>
          <w:sz w:val="20"/>
          <w:szCs w:val="20"/>
        </w:rPr>
      </w:pPr>
      <w:r w:rsidRPr="000A784B">
        <w:rPr>
          <w:rFonts w:ascii="Arial" w:hAnsi="Arial" w:cs="Arial"/>
          <w:b/>
          <w:bCs/>
          <w:color w:val="000000" w:themeColor="text1"/>
          <w:sz w:val="20"/>
          <w:szCs w:val="20"/>
        </w:rPr>
        <w:t>Procedure</w:t>
      </w:r>
    </w:p>
    <w:p w14:paraId="48D173AD" w14:textId="77777777" w:rsidR="009B4C53" w:rsidRPr="000A784B" w:rsidRDefault="009B4C53" w:rsidP="009B4C53">
      <w:pPr>
        <w:pStyle w:val="ListParagraph"/>
        <w:numPr>
          <w:ilvl w:val="0"/>
          <w:numId w:val="9"/>
        </w:numPr>
        <w:autoSpaceDE w:val="0"/>
        <w:autoSpaceDN w:val="0"/>
        <w:adjustRightInd w:val="0"/>
        <w:spacing w:after="0" w:line="240" w:lineRule="auto"/>
        <w:rPr>
          <w:rFonts w:ascii="Arial" w:hAnsi="Arial" w:cs="Arial"/>
          <w:bCs/>
          <w:color w:val="000000" w:themeColor="text1"/>
          <w:sz w:val="20"/>
          <w:szCs w:val="20"/>
        </w:rPr>
      </w:pPr>
      <w:r w:rsidRPr="000A784B">
        <w:rPr>
          <w:rFonts w:ascii="Arial" w:hAnsi="Arial" w:cs="Arial"/>
          <w:bCs/>
          <w:color w:val="000000" w:themeColor="text1"/>
          <w:sz w:val="20"/>
          <w:szCs w:val="20"/>
        </w:rPr>
        <w:t xml:space="preserve">The Business Manager should propose a capital reserve schedule to the Governors identifying </w:t>
      </w:r>
      <w:r w:rsidR="001F338E" w:rsidRPr="000A784B">
        <w:rPr>
          <w:rFonts w:ascii="Arial" w:hAnsi="Arial" w:cs="Arial"/>
          <w:bCs/>
          <w:color w:val="000000" w:themeColor="text1"/>
          <w:sz w:val="20"/>
          <w:szCs w:val="20"/>
        </w:rPr>
        <w:t>the need to replace assets and the related sums required.</w:t>
      </w:r>
    </w:p>
    <w:p w14:paraId="264F8359" w14:textId="77777777" w:rsidR="001F338E" w:rsidRPr="000A784B" w:rsidRDefault="001F338E" w:rsidP="009B4C53">
      <w:pPr>
        <w:pStyle w:val="ListParagraph"/>
        <w:numPr>
          <w:ilvl w:val="0"/>
          <w:numId w:val="9"/>
        </w:numPr>
        <w:autoSpaceDE w:val="0"/>
        <w:autoSpaceDN w:val="0"/>
        <w:adjustRightInd w:val="0"/>
        <w:spacing w:after="0" w:line="240" w:lineRule="auto"/>
        <w:rPr>
          <w:rFonts w:ascii="Arial" w:hAnsi="Arial" w:cs="Arial"/>
          <w:bCs/>
          <w:color w:val="000000" w:themeColor="text1"/>
          <w:sz w:val="20"/>
          <w:szCs w:val="20"/>
        </w:rPr>
      </w:pPr>
      <w:r w:rsidRPr="000A784B">
        <w:rPr>
          <w:rFonts w:ascii="Arial" w:hAnsi="Arial" w:cs="Arial"/>
          <w:bCs/>
          <w:color w:val="000000" w:themeColor="text1"/>
          <w:sz w:val="20"/>
          <w:szCs w:val="20"/>
        </w:rPr>
        <w:t>The Governors should agree the value of capital reserves to be created in a year as part of the budget approval process.</w:t>
      </w:r>
    </w:p>
    <w:p w14:paraId="536EBC75" w14:textId="77777777" w:rsidR="001F338E" w:rsidRPr="000A784B" w:rsidRDefault="001F338E" w:rsidP="009B4C53">
      <w:pPr>
        <w:pStyle w:val="ListParagraph"/>
        <w:numPr>
          <w:ilvl w:val="0"/>
          <w:numId w:val="9"/>
        </w:numPr>
        <w:autoSpaceDE w:val="0"/>
        <w:autoSpaceDN w:val="0"/>
        <w:adjustRightInd w:val="0"/>
        <w:spacing w:after="0" w:line="240" w:lineRule="auto"/>
        <w:rPr>
          <w:rFonts w:ascii="Arial" w:hAnsi="Arial" w:cs="Arial"/>
          <w:bCs/>
          <w:color w:val="000000" w:themeColor="text1"/>
          <w:sz w:val="20"/>
          <w:szCs w:val="20"/>
        </w:rPr>
      </w:pPr>
      <w:r w:rsidRPr="000A784B">
        <w:rPr>
          <w:rFonts w:ascii="Arial" w:hAnsi="Arial" w:cs="Arial"/>
          <w:bCs/>
          <w:color w:val="000000" w:themeColor="text1"/>
          <w:sz w:val="20"/>
          <w:szCs w:val="20"/>
        </w:rPr>
        <w:t>Funds should be transferred to a separate bank account at such a time that is clear that to do so would not create a deficit cash flow situation.</w:t>
      </w:r>
    </w:p>
    <w:p w14:paraId="5A40A726" w14:textId="77777777" w:rsidR="001F338E" w:rsidRPr="000A784B" w:rsidRDefault="001F338E" w:rsidP="009B4C53">
      <w:pPr>
        <w:pStyle w:val="ListParagraph"/>
        <w:numPr>
          <w:ilvl w:val="0"/>
          <w:numId w:val="9"/>
        </w:numPr>
        <w:autoSpaceDE w:val="0"/>
        <w:autoSpaceDN w:val="0"/>
        <w:adjustRightInd w:val="0"/>
        <w:spacing w:after="0" w:line="240" w:lineRule="auto"/>
        <w:rPr>
          <w:rFonts w:ascii="Arial" w:hAnsi="Arial" w:cs="Arial"/>
          <w:bCs/>
          <w:color w:val="000000" w:themeColor="text1"/>
          <w:sz w:val="20"/>
          <w:szCs w:val="20"/>
        </w:rPr>
      </w:pPr>
      <w:r w:rsidRPr="000A784B">
        <w:rPr>
          <w:rFonts w:ascii="Arial" w:hAnsi="Arial" w:cs="Arial"/>
          <w:bCs/>
          <w:color w:val="000000" w:themeColor="text1"/>
          <w:sz w:val="20"/>
          <w:szCs w:val="20"/>
        </w:rPr>
        <w:t>An</w:t>
      </w:r>
      <w:r w:rsidR="00486447" w:rsidRPr="000A784B">
        <w:rPr>
          <w:rFonts w:ascii="Arial" w:hAnsi="Arial" w:cs="Arial"/>
          <w:bCs/>
          <w:color w:val="000000" w:themeColor="text1"/>
          <w:sz w:val="20"/>
          <w:szCs w:val="20"/>
        </w:rPr>
        <w:t>y</w:t>
      </w:r>
      <w:r w:rsidRPr="000A784B">
        <w:rPr>
          <w:rFonts w:ascii="Arial" w:hAnsi="Arial" w:cs="Arial"/>
          <w:bCs/>
          <w:color w:val="000000" w:themeColor="text1"/>
          <w:sz w:val="20"/>
          <w:szCs w:val="20"/>
        </w:rPr>
        <w:t xml:space="preserve"> separate bank account should have instant access in order to ensure any “unknown” major expenditure can be moved to the current account in order to ensure cash flow does not indicate a deficit.</w:t>
      </w:r>
    </w:p>
    <w:p w14:paraId="7D59440D" w14:textId="77777777" w:rsidR="001F338E" w:rsidRPr="000A784B" w:rsidRDefault="001F338E" w:rsidP="009B4C53">
      <w:pPr>
        <w:pStyle w:val="ListParagraph"/>
        <w:numPr>
          <w:ilvl w:val="0"/>
          <w:numId w:val="9"/>
        </w:numPr>
        <w:autoSpaceDE w:val="0"/>
        <w:autoSpaceDN w:val="0"/>
        <w:adjustRightInd w:val="0"/>
        <w:spacing w:after="0" w:line="240" w:lineRule="auto"/>
        <w:rPr>
          <w:rFonts w:ascii="Arial" w:hAnsi="Arial" w:cs="Arial"/>
          <w:bCs/>
          <w:color w:val="000000" w:themeColor="text1"/>
          <w:sz w:val="20"/>
          <w:szCs w:val="20"/>
        </w:rPr>
      </w:pPr>
      <w:r w:rsidRPr="000A784B">
        <w:rPr>
          <w:rFonts w:ascii="Arial" w:hAnsi="Arial" w:cs="Arial"/>
          <w:bCs/>
          <w:color w:val="000000" w:themeColor="text1"/>
          <w:sz w:val="20"/>
          <w:szCs w:val="20"/>
        </w:rPr>
        <w:t>Spend of the capital reserve f</w:t>
      </w:r>
      <w:r w:rsidR="00BE2F0D" w:rsidRPr="000A784B">
        <w:rPr>
          <w:rFonts w:ascii="Arial" w:hAnsi="Arial" w:cs="Arial"/>
          <w:bCs/>
          <w:color w:val="000000" w:themeColor="text1"/>
          <w:sz w:val="20"/>
          <w:szCs w:val="20"/>
        </w:rPr>
        <w:t>und should only occur as agreed</w:t>
      </w:r>
      <w:r w:rsidRPr="000A784B">
        <w:rPr>
          <w:rFonts w:ascii="Arial" w:hAnsi="Arial" w:cs="Arial"/>
          <w:bCs/>
          <w:color w:val="000000" w:themeColor="text1"/>
          <w:sz w:val="20"/>
          <w:szCs w:val="20"/>
        </w:rPr>
        <w:t xml:space="preserve"> budgeted spend which is approved by the Governors as part of the budget process.</w:t>
      </w:r>
    </w:p>
    <w:p w14:paraId="6494B276" w14:textId="77777777" w:rsidR="00CA4C87" w:rsidRPr="000A784B" w:rsidRDefault="00CA4C87" w:rsidP="00CA4C87">
      <w:pPr>
        <w:autoSpaceDE w:val="0"/>
        <w:autoSpaceDN w:val="0"/>
        <w:adjustRightInd w:val="0"/>
        <w:spacing w:after="0" w:line="240" w:lineRule="auto"/>
        <w:rPr>
          <w:rFonts w:ascii="Arial" w:hAnsi="Arial" w:cs="Arial"/>
          <w:bCs/>
          <w:color w:val="000000" w:themeColor="text1"/>
          <w:sz w:val="20"/>
          <w:szCs w:val="20"/>
        </w:rPr>
      </w:pPr>
    </w:p>
    <w:p w14:paraId="378F4FEE" w14:textId="77777777" w:rsidR="00CA4C87" w:rsidRPr="000A784B" w:rsidRDefault="00CA4C87" w:rsidP="00CA4C87">
      <w:pPr>
        <w:autoSpaceDE w:val="0"/>
        <w:autoSpaceDN w:val="0"/>
        <w:adjustRightInd w:val="0"/>
        <w:spacing w:after="0" w:line="240" w:lineRule="auto"/>
        <w:rPr>
          <w:rFonts w:ascii="Arial" w:hAnsi="Arial" w:cs="Arial"/>
          <w:b/>
          <w:bCs/>
          <w:color w:val="000000" w:themeColor="text1"/>
          <w:sz w:val="24"/>
          <w:szCs w:val="24"/>
        </w:rPr>
      </w:pPr>
      <w:r w:rsidRPr="000A784B">
        <w:rPr>
          <w:rFonts w:ascii="Arial" w:hAnsi="Arial" w:cs="Arial"/>
          <w:b/>
          <w:bCs/>
          <w:color w:val="000000" w:themeColor="text1"/>
          <w:sz w:val="24"/>
          <w:szCs w:val="24"/>
        </w:rPr>
        <w:t>REVENUE</w:t>
      </w:r>
    </w:p>
    <w:p w14:paraId="0FFA28FE" w14:textId="77777777" w:rsidR="00CA4C87" w:rsidRPr="000A784B" w:rsidRDefault="00CA4C87" w:rsidP="00CA4C87">
      <w:pPr>
        <w:autoSpaceDE w:val="0"/>
        <w:autoSpaceDN w:val="0"/>
        <w:adjustRightInd w:val="0"/>
        <w:spacing w:after="0" w:line="240" w:lineRule="auto"/>
        <w:rPr>
          <w:rFonts w:ascii="Arial" w:hAnsi="Arial" w:cs="Arial"/>
          <w:b/>
          <w:bCs/>
          <w:color w:val="000000" w:themeColor="text1"/>
          <w:sz w:val="20"/>
          <w:szCs w:val="20"/>
        </w:rPr>
      </w:pPr>
    </w:p>
    <w:p w14:paraId="0B034F59" w14:textId="1E622B7A" w:rsidR="00CA4C87" w:rsidRPr="000A784B" w:rsidRDefault="000859BC" w:rsidP="00CA4C87">
      <w:pPr>
        <w:autoSpaceDE w:val="0"/>
        <w:autoSpaceDN w:val="0"/>
        <w:adjustRightInd w:val="0"/>
        <w:spacing w:after="0" w:line="240" w:lineRule="auto"/>
        <w:rPr>
          <w:rFonts w:ascii="Arial" w:hAnsi="Arial" w:cs="Arial"/>
          <w:b/>
          <w:bCs/>
          <w:color w:val="000000" w:themeColor="text1"/>
          <w:sz w:val="20"/>
          <w:szCs w:val="20"/>
        </w:rPr>
      </w:pPr>
      <w:r w:rsidRPr="000A784B">
        <w:rPr>
          <w:rFonts w:ascii="Arial" w:hAnsi="Arial" w:cs="Arial"/>
          <w:b/>
          <w:bCs/>
          <w:color w:val="000000" w:themeColor="text1"/>
          <w:sz w:val="20"/>
          <w:szCs w:val="20"/>
        </w:rPr>
        <w:t>Definition</w:t>
      </w:r>
    </w:p>
    <w:p w14:paraId="2668E477" w14:textId="431C7510" w:rsidR="000859BC" w:rsidRPr="000A784B" w:rsidRDefault="000859BC" w:rsidP="000859BC">
      <w:pPr>
        <w:autoSpaceDE w:val="0"/>
        <w:autoSpaceDN w:val="0"/>
        <w:adjustRightInd w:val="0"/>
        <w:spacing w:after="0" w:line="240" w:lineRule="auto"/>
        <w:jc w:val="both"/>
        <w:rPr>
          <w:rFonts w:ascii="Arial" w:hAnsi="Arial" w:cs="Arial"/>
          <w:bCs/>
          <w:color w:val="000000" w:themeColor="text1"/>
          <w:sz w:val="20"/>
          <w:szCs w:val="20"/>
        </w:rPr>
      </w:pPr>
      <w:r w:rsidRPr="000A784B">
        <w:rPr>
          <w:rFonts w:ascii="Arial" w:hAnsi="Arial" w:cs="Arial"/>
          <w:bCs/>
          <w:color w:val="000000" w:themeColor="text1"/>
          <w:sz w:val="20"/>
          <w:szCs w:val="20"/>
        </w:rPr>
        <w:t xml:space="preserve">The Governors require a revenue reserve to be created to fund future expenditure related to the Academy Development Plan’s strategic long-term aims and developments.  Academies are expected to create reserves from their annual General Annual Grant (GAG) funding or other income. The Academies Financial Handbook states that previous </w:t>
      </w:r>
      <w:r w:rsidRPr="000A784B">
        <w:rPr>
          <w:rFonts w:ascii="Arial" w:hAnsi="Arial" w:cs="Arial"/>
          <w:color w:val="000000" w:themeColor="text1"/>
        </w:rPr>
        <w:t xml:space="preserve">Education and Skills Funding Agency (ESFA) GAG limits on carried forward by trusts from year-to-year have now been removed for eligible trusts. ESFA will report to DfE any trusts where it has serious concerns about a long-term substantial surplus with no clear plans for its use. </w:t>
      </w:r>
    </w:p>
    <w:p w14:paraId="7CC5A1DE" w14:textId="77777777" w:rsidR="000859BC" w:rsidRPr="000A784B" w:rsidRDefault="000859BC" w:rsidP="0061271B">
      <w:pPr>
        <w:autoSpaceDE w:val="0"/>
        <w:autoSpaceDN w:val="0"/>
        <w:adjustRightInd w:val="0"/>
        <w:spacing w:after="0" w:line="240" w:lineRule="auto"/>
        <w:jc w:val="both"/>
        <w:rPr>
          <w:rFonts w:ascii="Arial" w:hAnsi="Arial" w:cs="Arial"/>
          <w:bCs/>
          <w:color w:val="000000" w:themeColor="text1"/>
          <w:sz w:val="20"/>
          <w:szCs w:val="20"/>
        </w:rPr>
      </w:pPr>
    </w:p>
    <w:p w14:paraId="34C5FFA0" w14:textId="77777777" w:rsidR="000859BC" w:rsidRPr="000A784B" w:rsidRDefault="000859BC" w:rsidP="0061271B">
      <w:pPr>
        <w:autoSpaceDE w:val="0"/>
        <w:autoSpaceDN w:val="0"/>
        <w:adjustRightInd w:val="0"/>
        <w:spacing w:after="0" w:line="240" w:lineRule="auto"/>
        <w:jc w:val="both"/>
        <w:rPr>
          <w:rFonts w:ascii="Arial" w:hAnsi="Arial" w:cs="Arial"/>
          <w:b/>
          <w:color w:val="000000" w:themeColor="text1"/>
          <w:sz w:val="20"/>
          <w:szCs w:val="20"/>
        </w:rPr>
      </w:pPr>
      <w:r w:rsidRPr="000A784B">
        <w:rPr>
          <w:rFonts w:ascii="Arial" w:hAnsi="Arial" w:cs="Arial"/>
          <w:b/>
          <w:color w:val="000000" w:themeColor="text1"/>
          <w:sz w:val="20"/>
          <w:szCs w:val="20"/>
        </w:rPr>
        <w:t>Procedure</w:t>
      </w:r>
    </w:p>
    <w:p w14:paraId="1907D038" w14:textId="08E451EA" w:rsidR="00CA4C87" w:rsidRPr="000A784B" w:rsidRDefault="000859BC" w:rsidP="000A784B">
      <w:pPr>
        <w:autoSpaceDE w:val="0"/>
        <w:autoSpaceDN w:val="0"/>
        <w:adjustRightInd w:val="0"/>
        <w:spacing w:after="0" w:line="240" w:lineRule="auto"/>
        <w:jc w:val="both"/>
        <w:rPr>
          <w:rFonts w:ascii="Arial" w:hAnsi="Arial" w:cs="Arial"/>
          <w:bCs/>
          <w:color w:val="000000" w:themeColor="text1"/>
          <w:sz w:val="20"/>
          <w:szCs w:val="20"/>
        </w:rPr>
      </w:pPr>
      <w:r w:rsidRPr="000A784B">
        <w:rPr>
          <w:rFonts w:ascii="Arial" w:hAnsi="Arial" w:cs="Arial"/>
          <w:bCs/>
          <w:color w:val="000000" w:themeColor="text1"/>
          <w:sz w:val="20"/>
          <w:szCs w:val="20"/>
        </w:rPr>
        <w:t>R</w:t>
      </w:r>
      <w:r w:rsidR="0061271B" w:rsidRPr="000A784B">
        <w:rPr>
          <w:rFonts w:ascii="Arial" w:hAnsi="Arial" w:cs="Arial"/>
          <w:bCs/>
          <w:color w:val="000000" w:themeColor="text1"/>
          <w:sz w:val="20"/>
          <w:szCs w:val="20"/>
        </w:rPr>
        <w:t xml:space="preserve">eserves are placed in a notice Treasury Account to earn interest until required.  </w:t>
      </w:r>
      <w:r w:rsidRPr="000A784B">
        <w:rPr>
          <w:rFonts w:ascii="Arial" w:hAnsi="Arial" w:cs="Arial"/>
          <w:bCs/>
          <w:color w:val="000000" w:themeColor="text1"/>
          <w:sz w:val="20"/>
          <w:szCs w:val="20"/>
        </w:rPr>
        <w:t>The School Business Manager reviews the current account and treasury account on at least a monthly basis to ensure cashflow is maintained.</w:t>
      </w:r>
    </w:p>
    <w:p w14:paraId="2429AF39" w14:textId="77777777" w:rsidR="001D4A12" w:rsidRPr="000A784B" w:rsidRDefault="001D4A12" w:rsidP="00CA4C87">
      <w:pPr>
        <w:autoSpaceDE w:val="0"/>
        <w:autoSpaceDN w:val="0"/>
        <w:adjustRightInd w:val="0"/>
        <w:spacing w:after="0" w:line="240" w:lineRule="auto"/>
        <w:rPr>
          <w:rFonts w:ascii="Arial" w:hAnsi="Arial" w:cs="Arial"/>
          <w:bCs/>
          <w:color w:val="000000" w:themeColor="text1"/>
          <w:sz w:val="20"/>
          <w:szCs w:val="20"/>
        </w:rPr>
      </w:pPr>
    </w:p>
    <w:p w14:paraId="571790C9" w14:textId="557ECDC5" w:rsidR="00144696" w:rsidRPr="000A784B" w:rsidRDefault="00144696" w:rsidP="00144696">
      <w:pPr>
        <w:rPr>
          <w:rFonts w:ascii="Arial" w:hAnsi="Arial" w:cs="Arial"/>
          <w:color w:val="000000" w:themeColor="text1"/>
        </w:rPr>
      </w:pPr>
      <w:r w:rsidRPr="000A784B">
        <w:rPr>
          <w:rFonts w:ascii="Arial" w:hAnsi="Arial" w:cs="Arial"/>
          <w:color w:val="000000" w:themeColor="text1"/>
          <w:sz w:val="20"/>
        </w:rPr>
        <w:t>This</w:t>
      </w:r>
      <w:r w:rsidR="000A784B">
        <w:rPr>
          <w:rFonts w:ascii="Arial" w:hAnsi="Arial" w:cs="Arial"/>
          <w:color w:val="000000" w:themeColor="text1"/>
          <w:sz w:val="20"/>
        </w:rPr>
        <w:t xml:space="preserve"> </w:t>
      </w:r>
      <w:r w:rsidR="00FA219A" w:rsidRPr="000A784B">
        <w:rPr>
          <w:rFonts w:ascii="Arial" w:hAnsi="Arial" w:cs="Arial"/>
          <w:color w:val="000000" w:themeColor="text1"/>
          <w:sz w:val="20"/>
        </w:rPr>
        <w:t>p</w:t>
      </w:r>
      <w:r w:rsidRPr="000A784B">
        <w:rPr>
          <w:rFonts w:ascii="Arial" w:hAnsi="Arial" w:cs="Arial"/>
          <w:color w:val="000000" w:themeColor="text1"/>
          <w:sz w:val="20"/>
        </w:rPr>
        <w:t>olicy will be reviewed by the Resources C</w:t>
      </w:r>
      <w:r w:rsidR="00FA219A" w:rsidRPr="000A784B">
        <w:rPr>
          <w:rFonts w:ascii="Arial" w:hAnsi="Arial" w:cs="Arial"/>
          <w:color w:val="000000" w:themeColor="text1"/>
          <w:sz w:val="20"/>
        </w:rPr>
        <w:t>ommi</w:t>
      </w:r>
      <w:r w:rsidRPr="000A784B">
        <w:rPr>
          <w:rFonts w:ascii="Arial" w:hAnsi="Arial" w:cs="Arial"/>
          <w:color w:val="000000" w:themeColor="text1"/>
          <w:sz w:val="20"/>
        </w:rPr>
        <w:t>ttee on a 3-yearly cycle and must be signed by the Chair of Governors and Headteacher.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245"/>
      </w:tblGrid>
      <w:tr w:rsidR="000A784B" w:rsidRPr="000A784B" w14:paraId="04B4C72E" w14:textId="77777777" w:rsidTr="00E15CE8">
        <w:tc>
          <w:tcPr>
            <w:tcW w:w="4786" w:type="dxa"/>
          </w:tcPr>
          <w:p w14:paraId="3E1A52C0" w14:textId="77777777" w:rsidR="00144696" w:rsidRPr="000A784B" w:rsidRDefault="00144696" w:rsidP="00E15CE8">
            <w:pPr>
              <w:rPr>
                <w:rFonts w:ascii="Arial" w:hAnsi="Arial" w:cs="Arial"/>
                <w:color w:val="000000" w:themeColor="text1"/>
                <w:sz w:val="16"/>
              </w:rPr>
            </w:pPr>
            <w:r w:rsidRPr="000A784B">
              <w:rPr>
                <w:rFonts w:ascii="Arial" w:hAnsi="Arial" w:cs="Arial"/>
                <w:color w:val="000000" w:themeColor="text1"/>
                <w:sz w:val="16"/>
              </w:rPr>
              <w:t>Policy Reviewed:</w:t>
            </w:r>
          </w:p>
        </w:tc>
        <w:tc>
          <w:tcPr>
            <w:tcW w:w="5245" w:type="dxa"/>
          </w:tcPr>
          <w:p w14:paraId="12E56087" w14:textId="4B0F2B76" w:rsidR="00144696" w:rsidRPr="000A784B" w:rsidRDefault="000A784B" w:rsidP="00E15CE8">
            <w:pPr>
              <w:rPr>
                <w:rFonts w:ascii="Arial" w:hAnsi="Arial" w:cs="Arial"/>
                <w:color w:val="000000" w:themeColor="text1"/>
                <w:sz w:val="16"/>
                <w:highlight w:val="yellow"/>
              </w:rPr>
            </w:pPr>
            <w:r w:rsidRPr="000A784B">
              <w:rPr>
                <w:rFonts w:ascii="Arial" w:hAnsi="Arial" w:cs="Arial"/>
                <w:color w:val="000000" w:themeColor="text1"/>
                <w:sz w:val="16"/>
                <w:highlight w:val="yellow"/>
              </w:rPr>
              <w:t xml:space="preserve">Date here </w:t>
            </w:r>
          </w:p>
        </w:tc>
      </w:tr>
      <w:tr w:rsidR="000A784B" w:rsidRPr="000A784B" w14:paraId="5F757853" w14:textId="77777777" w:rsidTr="00E15CE8">
        <w:tc>
          <w:tcPr>
            <w:tcW w:w="4786" w:type="dxa"/>
          </w:tcPr>
          <w:p w14:paraId="2649E2AA" w14:textId="77777777" w:rsidR="00144696" w:rsidRPr="000A784B" w:rsidRDefault="00144696" w:rsidP="00E15CE8">
            <w:pPr>
              <w:rPr>
                <w:rFonts w:ascii="Arial" w:hAnsi="Arial" w:cs="Arial"/>
                <w:color w:val="000000" w:themeColor="text1"/>
                <w:sz w:val="16"/>
              </w:rPr>
            </w:pPr>
            <w:r w:rsidRPr="000A784B">
              <w:rPr>
                <w:rFonts w:ascii="Arial" w:hAnsi="Arial" w:cs="Arial"/>
                <w:color w:val="000000" w:themeColor="text1"/>
                <w:sz w:val="16"/>
              </w:rPr>
              <w:t>Next Review:</w:t>
            </w:r>
          </w:p>
        </w:tc>
        <w:tc>
          <w:tcPr>
            <w:tcW w:w="5245" w:type="dxa"/>
          </w:tcPr>
          <w:p w14:paraId="7B895B03" w14:textId="55E222A7" w:rsidR="00144696" w:rsidRPr="000A784B" w:rsidRDefault="000A784B" w:rsidP="00E15CE8">
            <w:pPr>
              <w:rPr>
                <w:rFonts w:ascii="Arial" w:hAnsi="Arial" w:cs="Arial"/>
                <w:color w:val="000000" w:themeColor="text1"/>
                <w:sz w:val="16"/>
                <w:highlight w:val="yellow"/>
              </w:rPr>
            </w:pPr>
            <w:r w:rsidRPr="000A784B">
              <w:rPr>
                <w:rFonts w:ascii="Arial" w:hAnsi="Arial" w:cs="Arial"/>
                <w:color w:val="000000" w:themeColor="text1"/>
                <w:sz w:val="16"/>
                <w:highlight w:val="yellow"/>
              </w:rPr>
              <w:t>Date here</w:t>
            </w:r>
          </w:p>
        </w:tc>
      </w:tr>
      <w:tr w:rsidR="000A784B" w:rsidRPr="000A784B" w14:paraId="7270CBD8" w14:textId="77777777" w:rsidTr="000A784B">
        <w:trPr>
          <w:trHeight w:val="706"/>
        </w:trPr>
        <w:tc>
          <w:tcPr>
            <w:tcW w:w="4786" w:type="dxa"/>
          </w:tcPr>
          <w:p w14:paraId="0EFB87E2" w14:textId="50A3C059" w:rsidR="00144696" w:rsidRPr="000A784B" w:rsidRDefault="00144696" w:rsidP="00E15CE8">
            <w:pPr>
              <w:rPr>
                <w:rFonts w:ascii="Arial" w:hAnsi="Arial" w:cs="Arial"/>
                <w:color w:val="000000" w:themeColor="text1"/>
                <w:sz w:val="16"/>
              </w:rPr>
            </w:pPr>
            <w:r w:rsidRPr="000A784B">
              <w:rPr>
                <w:rFonts w:ascii="Arial" w:hAnsi="Arial" w:cs="Arial"/>
                <w:color w:val="000000" w:themeColor="text1"/>
                <w:sz w:val="16"/>
              </w:rPr>
              <w:lastRenderedPageBreak/>
              <w:t>Signature of Chair of Governors:</w:t>
            </w:r>
          </w:p>
        </w:tc>
        <w:tc>
          <w:tcPr>
            <w:tcW w:w="5245" w:type="dxa"/>
          </w:tcPr>
          <w:p w14:paraId="62989755" w14:textId="77777777" w:rsidR="00144696" w:rsidRPr="000A784B" w:rsidRDefault="00144696" w:rsidP="00E15CE8">
            <w:pPr>
              <w:rPr>
                <w:rFonts w:ascii="Arial" w:hAnsi="Arial" w:cs="Arial"/>
                <w:color w:val="000000" w:themeColor="text1"/>
                <w:sz w:val="16"/>
              </w:rPr>
            </w:pPr>
            <w:r w:rsidRPr="000A784B">
              <w:rPr>
                <w:rFonts w:ascii="Arial" w:hAnsi="Arial" w:cs="Arial"/>
                <w:color w:val="000000" w:themeColor="text1"/>
                <w:sz w:val="16"/>
              </w:rPr>
              <w:t>Signature of Headteacher:</w:t>
            </w:r>
          </w:p>
          <w:p w14:paraId="12F2747E" w14:textId="77777777" w:rsidR="00144696" w:rsidRPr="000A784B" w:rsidRDefault="00144696" w:rsidP="00E15CE8">
            <w:pPr>
              <w:rPr>
                <w:rFonts w:ascii="Arial" w:hAnsi="Arial" w:cs="Arial"/>
                <w:color w:val="000000" w:themeColor="text1"/>
                <w:sz w:val="16"/>
              </w:rPr>
            </w:pPr>
          </w:p>
          <w:p w14:paraId="7A6BCCBA" w14:textId="77777777" w:rsidR="00144696" w:rsidRPr="000A784B" w:rsidRDefault="00144696" w:rsidP="00E15CE8">
            <w:pPr>
              <w:rPr>
                <w:rFonts w:ascii="Arial" w:hAnsi="Arial" w:cs="Arial"/>
                <w:color w:val="000000" w:themeColor="text1"/>
                <w:sz w:val="16"/>
              </w:rPr>
            </w:pPr>
          </w:p>
          <w:p w14:paraId="1499FC4D" w14:textId="77777777" w:rsidR="00144696" w:rsidRPr="000A784B" w:rsidRDefault="00144696" w:rsidP="00E15CE8">
            <w:pPr>
              <w:rPr>
                <w:rFonts w:ascii="Arial" w:hAnsi="Arial" w:cs="Arial"/>
                <w:color w:val="000000" w:themeColor="text1"/>
                <w:sz w:val="16"/>
              </w:rPr>
            </w:pPr>
          </w:p>
        </w:tc>
      </w:tr>
    </w:tbl>
    <w:p w14:paraId="6C490E4F" w14:textId="77777777" w:rsidR="00144696" w:rsidRPr="000A784B" w:rsidRDefault="00144696" w:rsidP="00144696">
      <w:pPr>
        <w:rPr>
          <w:rFonts w:ascii="Arial" w:hAnsi="Arial" w:cs="Arial"/>
          <w:color w:val="000000" w:themeColor="text1"/>
          <w:sz w:val="16"/>
        </w:rPr>
      </w:pPr>
    </w:p>
    <w:p w14:paraId="49B6DBD1" w14:textId="77777777" w:rsidR="00144696" w:rsidRPr="000A784B" w:rsidRDefault="00144696" w:rsidP="00144696">
      <w:pPr>
        <w:rPr>
          <w:rFonts w:ascii="Arial" w:hAnsi="Arial" w:cs="Arial"/>
          <w:color w:val="000000" w:themeColor="text1"/>
        </w:rPr>
      </w:pPr>
    </w:p>
    <w:p w14:paraId="071BC928" w14:textId="77777777" w:rsidR="001803EC" w:rsidRPr="000A784B" w:rsidRDefault="001803EC" w:rsidP="00144696">
      <w:pPr>
        <w:autoSpaceDE w:val="0"/>
        <w:autoSpaceDN w:val="0"/>
        <w:adjustRightInd w:val="0"/>
        <w:spacing w:after="0" w:line="240" w:lineRule="auto"/>
        <w:rPr>
          <w:rFonts w:ascii="Arial" w:hAnsi="Arial" w:cs="Arial"/>
          <w:b/>
          <w:bCs/>
          <w:color w:val="000000" w:themeColor="text1"/>
          <w:sz w:val="28"/>
          <w:szCs w:val="28"/>
        </w:rPr>
      </w:pPr>
    </w:p>
    <w:sectPr w:rsidR="001803EC" w:rsidRPr="000A784B" w:rsidSect="00CA4C8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B2F"/>
    <w:multiLevelType w:val="hybridMultilevel"/>
    <w:tmpl w:val="B27841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60D35"/>
    <w:multiLevelType w:val="hybridMultilevel"/>
    <w:tmpl w:val="C61EE364"/>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B595C4B"/>
    <w:multiLevelType w:val="hybridMultilevel"/>
    <w:tmpl w:val="F7D6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15690"/>
    <w:multiLevelType w:val="hybridMultilevel"/>
    <w:tmpl w:val="DDC4644E"/>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272FA"/>
    <w:multiLevelType w:val="hybridMultilevel"/>
    <w:tmpl w:val="030C3E5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C55D3"/>
    <w:multiLevelType w:val="hybridMultilevel"/>
    <w:tmpl w:val="EFAE751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2AC46AE"/>
    <w:multiLevelType w:val="multilevel"/>
    <w:tmpl w:val="EDFC709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62C978B0"/>
    <w:multiLevelType w:val="hybridMultilevel"/>
    <w:tmpl w:val="8E3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2571F"/>
    <w:multiLevelType w:val="hybridMultilevel"/>
    <w:tmpl w:val="08EEF640"/>
    <w:lvl w:ilvl="0" w:tplc="C3485B74">
      <w:numFmt w:val="bullet"/>
      <w:lvlText w:val=""/>
      <w:lvlJc w:val="left"/>
      <w:pPr>
        <w:ind w:left="765" w:hanging="360"/>
      </w:pPr>
      <w:rPr>
        <w:rFonts w:ascii="Symbol" w:eastAsiaTheme="minorHAnsi" w:hAnsi="Symbol"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6073A07"/>
    <w:multiLevelType w:val="hybridMultilevel"/>
    <w:tmpl w:val="AD08A3F2"/>
    <w:lvl w:ilvl="0" w:tplc="DD14E7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DE7A2B"/>
    <w:multiLevelType w:val="hybridMultilevel"/>
    <w:tmpl w:val="3770535A"/>
    <w:lvl w:ilvl="0" w:tplc="C3485B74">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
  </w:num>
  <w:num w:numId="6">
    <w:abstractNumId w:val="4"/>
  </w:num>
  <w:num w:numId="7">
    <w:abstractNumId w:val="12"/>
  </w:num>
  <w:num w:numId="8">
    <w:abstractNumId w:val="0"/>
  </w:num>
  <w:num w:numId="9">
    <w:abstractNumId w:val="9"/>
  </w:num>
  <w:num w:numId="10">
    <w:abstractNumId w:val="8"/>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C07CF"/>
    <w:rsid w:val="000859BC"/>
    <w:rsid w:val="000A0E3A"/>
    <w:rsid w:val="000A784B"/>
    <w:rsid w:val="00144696"/>
    <w:rsid w:val="00162871"/>
    <w:rsid w:val="001803EC"/>
    <w:rsid w:val="00187D5A"/>
    <w:rsid w:val="001A1A14"/>
    <w:rsid w:val="001D4A12"/>
    <w:rsid w:val="001F338E"/>
    <w:rsid w:val="002104A3"/>
    <w:rsid w:val="002128FF"/>
    <w:rsid w:val="00224AF3"/>
    <w:rsid w:val="00300304"/>
    <w:rsid w:val="00311D55"/>
    <w:rsid w:val="00384B43"/>
    <w:rsid w:val="00486447"/>
    <w:rsid w:val="004C32CC"/>
    <w:rsid w:val="00533DF9"/>
    <w:rsid w:val="0061271B"/>
    <w:rsid w:val="00677A6A"/>
    <w:rsid w:val="006805E7"/>
    <w:rsid w:val="006825B8"/>
    <w:rsid w:val="006D6B79"/>
    <w:rsid w:val="007919C6"/>
    <w:rsid w:val="00910FED"/>
    <w:rsid w:val="0093438C"/>
    <w:rsid w:val="00945B6A"/>
    <w:rsid w:val="009B4C53"/>
    <w:rsid w:val="00AB1D46"/>
    <w:rsid w:val="00AC07CF"/>
    <w:rsid w:val="00AC7A47"/>
    <w:rsid w:val="00AF7D89"/>
    <w:rsid w:val="00B47006"/>
    <w:rsid w:val="00B5749E"/>
    <w:rsid w:val="00BE2F0D"/>
    <w:rsid w:val="00C04CEB"/>
    <w:rsid w:val="00C42DB2"/>
    <w:rsid w:val="00C917FB"/>
    <w:rsid w:val="00CA4C87"/>
    <w:rsid w:val="00CD07A3"/>
    <w:rsid w:val="00CE5167"/>
    <w:rsid w:val="00D11369"/>
    <w:rsid w:val="00D42B1A"/>
    <w:rsid w:val="00E37CC6"/>
    <w:rsid w:val="00ED4F17"/>
    <w:rsid w:val="00EF08FF"/>
    <w:rsid w:val="00F36C4F"/>
    <w:rsid w:val="00F45B26"/>
    <w:rsid w:val="00F901E4"/>
    <w:rsid w:val="00FA2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4FC6"/>
  <w15:docId w15:val="{2A2D0674-CC65-48B2-8D81-D78646EF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A3"/>
    <w:pPr>
      <w:ind w:left="720"/>
      <w:contextualSpacing/>
    </w:pPr>
  </w:style>
  <w:style w:type="paragraph" w:styleId="BodyText">
    <w:name w:val="Body Text"/>
    <w:basedOn w:val="Normal"/>
    <w:link w:val="BodyTextChar"/>
    <w:rsid w:val="00311D5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311D5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F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89"/>
    <w:rPr>
      <w:rFonts w:ascii="Tahoma" w:hAnsi="Tahoma" w:cs="Tahoma"/>
      <w:sz w:val="16"/>
      <w:szCs w:val="16"/>
    </w:rPr>
  </w:style>
  <w:style w:type="paragraph" w:styleId="Subtitle">
    <w:name w:val="Subtitle"/>
    <w:basedOn w:val="Normal"/>
    <w:link w:val="SubtitleChar"/>
    <w:qFormat/>
    <w:rsid w:val="00144696"/>
    <w:pPr>
      <w:spacing w:after="0" w:line="240" w:lineRule="auto"/>
      <w:jc w:val="center"/>
    </w:pPr>
    <w:rPr>
      <w:rFonts w:ascii="Arial" w:eastAsia="Times" w:hAnsi="Arial" w:cs="Times New Roman"/>
      <w:b/>
      <w:sz w:val="32"/>
      <w:szCs w:val="20"/>
      <w:u w:val="single"/>
      <w:lang w:eastAsia="en-US"/>
    </w:rPr>
  </w:style>
  <w:style w:type="character" w:customStyle="1" w:styleId="SubtitleChar">
    <w:name w:val="Subtitle Char"/>
    <w:basedOn w:val="DefaultParagraphFont"/>
    <w:link w:val="Subtitle"/>
    <w:rsid w:val="00144696"/>
    <w:rPr>
      <w:rFonts w:ascii="Arial" w:eastAsia="Times" w:hAnsi="Arial" w:cs="Times New Roman"/>
      <w:b/>
      <w:sz w:val="32"/>
      <w:szCs w:val="20"/>
      <w:u w:val="single"/>
      <w:lang w:eastAsia="en-US"/>
    </w:rPr>
  </w:style>
  <w:style w:type="paragraph" w:customStyle="1" w:styleId="DfESOutNumbered">
    <w:name w:val="DfESOutNumbered"/>
    <w:basedOn w:val="Normal"/>
    <w:link w:val="DfESOutNumberedChar"/>
    <w:rsid w:val="00300304"/>
    <w:pPr>
      <w:widowControl w:val="0"/>
      <w:numPr>
        <w:numId w:val="11"/>
      </w:numPr>
      <w:overflowPunct w:val="0"/>
      <w:autoSpaceDE w:val="0"/>
      <w:autoSpaceDN w:val="0"/>
      <w:adjustRightInd w:val="0"/>
      <w:spacing w:after="240" w:line="240" w:lineRule="auto"/>
      <w:textAlignment w:val="baseline"/>
    </w:pPr>
    <w:rPr>
      <w:rFonts w:ascii="Arial" w:eastAsia="Times New Roman" w:hAnsi="Arial" w:cs="Arial"/>
      <w:szCs w:val="20"/>
      <w:lang w:eastAsia="en-US"/>
    </w:rPr>
  </w:style>
  <w:style w:type="character" w:customStyle="1" w:styleId="DfESOutNumberedChar">
    <w:name w:val="DfESOutNumbered Char"/>
    <w:basedOn w:val="DefaultParagraphFont"/>
    <w:link w:val="DfESOutNumbered"/>
    <w:rsid w:val="00300304"/>
    <w:rPr>
      <w:rFonts w:ascii="Arial" w:eastAsia="Times New Roman" w:hAnsi="Arial" w:cs="Arial"/>
      <w:szCs w:val="20"/>
      <w:lang w:eastAsia="en-US"/>
    </w:rPr>
  </w:style>
  <w:style w:type="paragraph" w:customStyle="1" w:styleId="DeptBullets">
    <w:name w:val="DeptBullets"/>
    <w:basedOn w:val="Normal"/>
    <w:link w:val="DeptBulletsChar"/>
    <w:rsid w:val="00300304"/>
    <w:pPr>
      <w:widowControl w:val="0"/>
      <w:numPr>
        <w:numId w:val="13"/>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DeptBulletsChar">
    <w:name w:val="DeptBullets Char"/>
    <w:basedOn w:val="DefaultParagraphFont"/>
    <w:link w:val="DeptBullets"/>
    <w:rsid w:val="00300304"/>
    <w:rPr>
      <w:rFonts w:ascii="Arial" w:eastAsia="Times New Roman" w:hAnsi="Arial" w:cs="Times New Roman"/>
      <w:sz w:val="24"/>
      <w:szCs w:val="20"/>
      <w:lang w:eastAsia="en-US"/>
    </w:rPr>
  </w:style>
  <w:style w:type="character" w:styleId="Hyperlink">
    <w:name w:val="Hyperlink"/>
    <w:basedOn w:val="DefaultParagraphFont"/>
    <w:uiPriority w:val="99"/>
    <w:semiHidden/>
    <w:unhideWhenUsed/>
    <w:rsid w:val="00FA2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apital-allo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Afarnell</dc:creator>
  <cp:lastModifiedBy>Helen Wesson</cp:lastModifiedBy>
  <cp:revision>3</cp:revision>
  <cp:lastPrinted>2012-01-25T16:44:00Z</cp:lastPrinted>
  <dcterms:created xsi:type="dcterms:W3CDTF">2019-08-05T06:42:00Z</dcterms:created>
  <dcterms:modified xsi:type="dcterms:W3CDTF">2019-08-15T09:29:00Z</dcterms:modified>
</cp:coreProperties>
</file>